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19"/>
    <w:p>
      <w:pPr>
        <w:pStyle w:val="Heading1"/>
      </w:pPr>
      <w:r>
        <w:t xml:space="preserve">Homiletics Analysis: Ezekiel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19 is a formal</w:t>
      </w:r>
      <w:r>
        <w:t xml:space="preserve"> </w:t>
      </w:r>
      <w:r>
        <w:rPr>
          <w:i/>
          <w:iCs/>
        </w:rPr>
        <w:t xml:space="preserve">qinah</w:t>
      </w:r>
      <w:r>
        <w:t xml:space="preserve"> </w:t>
      </w:r>
      <w:r>
        <w:t xml:space="preserve">(lament) — a funeral dirge sung in the distinctive 3+2 stress pattern of Hebrew lamentation poetry. The prophet is commanded to take up this lamentation (</w:t>
      </w:r>
      <w:r>
        <w:rPr>
          <w:i/>
          <w:iCs/>
        </w:rPr>
        <w:t xml:space="preserve">nāśāʾ qînāh</w:t>
      </w:r>
      <w:r>
        <w:t xml:space="preserve">) for the princes of Israel. The chapter unfolds in two parallel movements. The first (vv. 1–9) uses the extended metaphor of a lioness and her two cubs: the mother raises a cub who learns to devour prey and tear men, is captured by nations, and taken to Egypt — a reference almost certainly to Jehoahaz, carried off by Pharaoh Neco in 609 BC (2 Kings 23:31–34). She raises a second cub who likewise becomes a lion, makes waste of cities, and is captured and brought to Babylon in chains — almost certainly Jehoiachin (or possibly Zedekiah) taken in the 597 BC deportation. The second movement (vv. 10–14) shifts the metaphor entirely to a vine: the mother is now a vine planted by water, fruitful and strong, whose branches become scepters for rulers. But she is plucked up in fury, transplanted to a dry and thirsty wilderness (Babylon), her strongest branch consumed by fire, and no strong branch remains to be a ruler’s scepter. Verse 14 closes with the summary verdict:</w:t>
      </w:r>
      <w:r>
        <w:t xml:space="preserve"> </w:t>
      </w:r>
      <w:r>
        <w:rPr>
          <w:i/>
          <w:iCs/>
        </w:rPr>
        <w:t xml:space="preserve">“This is a lamentation, and it has become a lamentation.”</w:t>
      </w:r>
      <w:r>
        <w:t xml:space="preserve"> </w:t>
      </w:r>
      <w:r>
        <w:t xml:space="preserve">The poem is retrospective, even though the final exile has not yet fully occurred at the time of composition — the prophetic perfect treats the catastrophe as already accomplished.</w:t>
      </w:r>
    </w:p>
    <w:p>
      <w:pPr>
        <w:pStyle w:val="BodyText"/>
      </w:pPr>
      <w:r>
        <w:rPr>
          <w:b/>
          <w:bCs/>
        </w:rPr>
        <w:t xml:space="preserve">This Text — Intent</w:t>
      </w:r>
    </w:p>
    <w:p>
      <w:pPr>
        <w:pStyle w:val="BodyText"/>
      </w:pPr>
      <w:r>
        <w:t xml:space="preserve">God is seeking to accomplish grief — not mere information about impending judgment, but the emotional and spiritual weight of what has already been lost and what is being lost. The lament form is deliberate: God does not here argue, warn, or threaten. He mourns. He commands His prophet to mourn. He invites Israel to mourn. The intent is to break through the numbness, denial, and false hope that characterized the exilic community and its leadership. God is calling His people to honest grief over the consequences of faithless leadership and covenant unfaithfulness — a grief that is the necessary precondition for authentic repentance and renewed dependence. Lament here is not despair; it is the spiritually honest response to what sin has actually cost, spoken by a God who refuses to let the loss be minimized.</w:t>
      </w:r>
    </w:p>
    <w:p>
      <w:r>
        <w:pict>
          <v:rect style="width:0;height:1.5pt" o:hralign="center" o:hrstd="t" o:hr="t"/>
        </w:pict>
      </w:r>
    </w:p>
    <w:p>
      <w:pPr>
        <w:pStyle w:val="FirstParagraph"/>
      </w:pPr>
      <w:r>
        <w:rPr>
          <w:b/>
          <w:bCs/>
        </w:rPr>
        <w:t xml:space="preserve">Subject Sentence:</w:t>
      </w:r>
      <w:r>
        <w:t xml:space="preserve"> </w:t>
      </w:r>
      <w:r>
        <w:t xml:space="preserve">God commands lament over Israel’s fallen dynasty — the cost of unfaithful leadership made inescapable.</w:t>
      </w:r>
    </w:p>
    <w:p>
      <w:r>
        <w:pict>
          <v:rect style="width:0;height:1.5pt" o:hralign="center" o:hrstd="t" o:hr="t"/>
        </w:pict>
      </w:r>
    </w:p>
    <w:p>
      <w:pPr>
        <w:pStyle w:val="FirstParagraph"/>
      </w:pPr>
      <w:r>
        <w:rPr>
          <w:b/>
          <w:bCs/>
        </w:rPr>
        <w:t xml:space="preserve">Primary Claim:</w:t>
      </w:r>
      <w:r>
        <w:t xml:space="preserve"> </w:t>
      </w:r>
      <w:r>
        <w:t xml:space="preserve">God uses formal lamentation to force His people to feel the full weight of what faithless leadership has cost — because honest grief over sin’s consequences is itself an act of faith and a prerequisite for genuine return.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Identification of the Historical Referents</w:t>
      </w:r>
    </w:p>
    <w:p>
      <w:pPr>
        <w:pStyle w:val="BodyText"/>
      </w:pPr>
      <w:r>
        <w:t xml:space="preserve">The most significant interpretive question in Ezekiel 19 concerns the precise identification of the two lion-cubs and the vine. The near-consensus among evangelical commentators is that the first cub (vv. 3–4) represents Jehoahaz, taken captive to Egypt by Pharaoh Neco in 609 BC after a reign of only three months (2 Kings 23:31–34; Jeremiah 22:10–12). The second cub (vv. 5–9) is more contested: most Reformed and evangelical interpreters identify him as Jehoiachin, deported to Babylon in 597 BC (2 Kings 24:8–16). Some, including Block and Zimmerli, prefer Zedekiah, since the reference to being brought to Babylon fits his eventual fate — though Zedekiah was not taken in chains until 586 BC, after the composition of this oracle. Others propose the second cub is deliberately ambiguous, representing the Davidic monarchy itself in its final collapse. The Reformed reading accepts the Jehoiachin identification as most historically anchored while acknowledging that the poem’s rhetorical force extends beyond any single king to indict the whole pattern of unfaithful Davidic leadership. The vine metaphor in vv. 10–14 most naturally refers to the Davidic monarchy as an institution, with the</w:t>
      </w:r>
      <w:r>
        <w:t xml:space="preserve"> </w:t>
      </w:r>
      <w:r>
        <w:t xml:space="preserve">“strong branch”</w:t>
      </w:r>
      <w:r>
        <w:t xml:space="preserve"> </w:t>
      </w:r>
      <w:r>
        <w:t xml:space="preserve">of v. 11 representing the line of kings whose capacity to rule has been extinguished.</w:t>
      </w:r>
    </w:p>
    <w:p>
      <w:pPr>
        <w:pStyle w:val="BodyText"/>
      </w:pPr>
      <w:r>
        <w:rPr>
          <w:b/>
          <w:bCs/>
        </w:rPr>
        <w:t xml:space="preserve">The Function of the Lament Form</w:t>
      </w:r>
    </w:p>
    <w:p>
      <w:pPr>
        <w:pStyle w:val="BodyText"/>
      </w:pPr>
      <w:r>
        <w:t xml:space="preserve">A significant hermeneutical question is why God commands a</w:t>
      </w:r>
      <w:r>
        <w:t xml:space="preserve"> </w:t>
      </w:r>
      <w:r>
        <w:rPr>
          <w:i/>
          <w:iCs/>
        </w:rPr>
        <w:t xml:space="preserve">lament</w:t>
      </w:r>
      <w:r>
        <w:t xml:space="preserve"> </w:t>
      </w:r>
      <w:r>
        <w:t xml:space="preserve">rather than a</w:t>
      </w:r>
      <w:r>
        <w:t xml:space="preserve"> </w:t>
      </w:r>
      <w:r>
        <w:rPr>
          <w:i/>
          <w:iCs/>
        </w:rPr>
        <w:t xml:space="preserve">judgment oracle</w:t>
      </w:r>
      <w:r>
        <w:t xml:space="preserve">. Dispensational interpreters often read Ezekiel’s judgment oracles primarily as prophetic data — information about coming events within a prophetic timeline. This approach tends to read ch. 19 as documentation of the Davidic dynasty’s end, valuable for its historical fulfillment of Mosaic covenant warnings. This reading</w:t>
      </w:r>
      <w:r>
        <w:t xml:space="preserve"> </w:t>
      </w:r>
      <w:r>
        <w:rPr>
          <w:i/>
          <w:iCs/>
        </w:rPr>
        <w:t xml:space="preserve">acknowledges</w:t>
      </w:r>
      <w:r>
        <w:t xml:space="preserve"> </w:t>
      </w:r>
      <w:r>
        <w:t xml:space="preserve">something real: the chapter does function as evidence of covenant consequence. But it</w:t>
      </w:r>
      <w:r>
        <w:t xml:space="preserve"> </w:t>
      </w:r>
      <w:r>
        <w:rPr>
          <w:i/>
          <w:iCs/>
        </w:rPr>
        <w:t xml:space="preserve">qualifies</w:t>
      </w:r>
      <w:r>
        <w:t xml:space="preserve"> </w:t>
      </w:r>
      <w:r>
        <w:t xml:space="preserve">this reading’s sufficiency: reducing the lament to prophetic data strips the text of its intended emotional force. God commands Ezekiel not to</w:t>
      </w:r>
      <w:r>
        <w:t xml:space="preserve"> </w:t>
      </w:r>
      <w:r>
        <w:rPr>
          <w:i/>
          <w:iCs/>
        </w:rPr>
        <w:t xml:space="preserve">report</w:t>
      </w:r>
      <w:r>
        <w:t xml:space="preserve"> </w:t>
      </w:r>
      <w:r>
        <w:t xml:space="preserve">a lamentation but to</w:t>
      </w:r>
      <w:r>
        <w:t xml:space="preserve"> </w:t>
      </w:r>
      <w:r>
        <w:rPr>
          <w:i/>
          <w:iCs/>
        </w:rPr>
        <w:t xml:space="preserve">take it up</w:t>
      </w:r>
      <w:r>
        <w:t xml:space="preserve"> </w:t>
      </w:r>
      <w:r>
        <w:t xml:space="preserve">— to inhabit and perform it. The intent is affective, not merely informational. The Reformed reading, following Calvin and Greenberg, insists that the lament form is itself the message: God is not detached from the fall of the Davidic house. He mourns it. And He calls His people to mourn it honestly rather than retreating into the denial that characterized the false prophets’ optimism.</w:t>
      </w:r>
    </w:p>
    <w:p>
      <w:pPr>
        <w:pStyle w:val="BodyText"/>
      </w:pPr>
      <w:r>
        <w:rPr>
          <w:b/>
          <w:bCs/>
        </w:rPr>
        <w:t xml:space="preserve">The Theological Status of the Davidic Monarchy Here</w:t>
      </w:r>
    </w:p>
    <w:p>
      <w:pPr>
        <w:pStyle w:val="BodyText"/>
      </w:pPr>
      <w:r>
        <w:t xml:space="preserve">Some interpreters, particularly in the covenantal Reformed tradition, read Ezekiel 19 as implicitly anticipating messianic hope — the extinguished scepter creating a vacuum that only the greater Son of David can fill. This reading finds canonical support in Ezekiel 21:27 (</w:t>
      </w:r>
      <w:r>
        <w:rPr>
          <w:i/>
          <w:iCs/>
        </w:rPr>
        <w:t xml:space="preserve">“a ruin, ruin, ruin I will make it. This also shall not be, until he comes, the one to whom judgment belongs, and to him I will give it”</w:t>
      </w:r>
      <w:r>
        <w:t xml:space="preserve">) and in the broader Ezekiel messianic vision (ch. 34, 37). The Reformed reading</w:t>
      </w:r>
      <w:r>
        <w:t xml:space="preserve"> </w:t>
      </w:r>
      <w:r>
        <w:rPr>
          <w:i/>
          <w:iCs/>
        </w:rPr>
        <w:t xml:space="preserve">acknowledges</w:t>
      </w:r>
      <w:r>
        <w:t xml:space="preserve"> </w:t>
      </w:r>
      <w:r>
        <w:t xml:space="preserve">this canonical trajectory as genuinely present but insists it must not be imported prematurely into ch. 19 itself, which contains no explicit messianic signal. The lament is allowed to be a lament — to do its work of grief — before the hope of chs. 34 and 37 is brought to bear. Collapsing the lament too quickly into hope domesticates the text’s emotional and theological demand.</w:t>
      </w:r>
    </w:p>
    <w:p>
      <w:pPr>
        <w:pStyle w:val="BodyText"/>
      </w:pPr>
      <w:r>
        <w:rPr>
          <w:i/>
          <w:iCs/>
        </w:rPr>
        <w:t xml:space="preserve">The Reformed reading preferred here: Ezekiel 19 is a genuine funeral dirge over the fall of the Davidic dynasty, grounded in historical specificity (Jehoahaz and Jehoiachin/the late monarchy), functioning primarily to produce honest grief over covenant failure, and pointing canonically — but not within the chapter itself — toward the messianic hope that Ezekiel develops elsewhere.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Kings 23:31–34 / 24:8–16</w:t>
      </w:r>
      <w:r>
        <w:t xml:space="preserve"> </w:t>
      </w:r>
      <w:r>
        <w:t xml:space="preserve">— The historical narrative of Jehoahaz’s deportation to Egypt and Jehoiachin’s deportation to Babylon, providing the factual grounding that the lament poeticizes and grieves.</w:t>
      </w:r>
    </w:p>
    <w:p>
      <w:pPr>
        <w:numPr>
          <w:ilvl w:val="0"/>
          <w:numId w:val="1001"/>
        </w:numPr>
      </w:pPr>
      <w:r>
        <w:rPr>
          <w:b/>
          <w:bCs/>
        </w:rPr>
        <w:t xml:space="preserve">Jeremiah 22:10–12, 24–30</w:t>
      </w:r>
      <w:r>
        <w:t xml:space="preserve"> </w:t>
      </w:r>
      <w:r>
        <w:t xml:space="preserve">— Jeremiah’s parallel lament over Jehoahaz (</w:t>
      </w:r>
      <w:r>
        <w:rPr>
          <w:i/>
          <w:iCs/>
        </w:rPr>
        <w:t xml:space="preserve">“Weep not for him who is dead, nor grieve for him; but weep bitterly for him who goes away”</w:t>
      </w:r>
      <w:r>
        <w:t xml:space="preserve">) and his oracle over Jehoiachin (Coniah), establishing the multi-prophetic witness to the Davidic dynasty’s collapse and calling for honest grief.</w:t>
      </w:r>
    </w:p>
    <w:p>
      <w:pPr>
        <w:numPr>
          <w:ilvl w:val="0"/>
          <w:numId w:val="1001"/>
        </w:numPr>
      </w:pPr>
      <w:r>
        <w:rPr>
          <w:b/>
          <w:bCs/>
        </w:rPr>
        <w:t xml:space="preserve">Psalm 89:38–51</w:t>
      </w:r>
      <w:r>
        <w:t xml:space="preserve"> </w:t>
      </w:r>
      <w:r>
        <w:t xml:space="preserve">— The Psalter’s own lament over the apparent failure of the Davidic covenant:</w:t>
      </w:r>
      <w:r>
        <w:t xml:space="preserve"> </w:t>
      </w:r>
      <w:r>
        <w:rPr>
          <w:i/>
          <w:iCs/>
        </w:rPr>
        <w:t xml:space="preserve">“You have renounced the covenant with your servant; you have defiled his crown in the dust.”</w:t>
      </w:r>
      <w:r>
        <w:t xml:space="preserve"> </w:t>
      </w:r>
      <w:r>
        <w:t xml:space="preserve">This psalm shows that lamentation over the Davidic house is itself a covenant-faithful act, not an act of unfaith.</w:t>
      </w:r>
    </w:p>
    <w:p>
      <w:pPr>
        <w:numPr>
          <w:ilvl w:val="0"/>
          <w:numId w:val="1001"/>
        </w:numPr>
      </w:pPr>
      <w:r>
        <w:rPr>
          <w:b/>
          <w:bCs/>
        </w:rPr>
        <w:t xml:space="preserve">Ezekiel 34:23–24; 37:24–25</w:t>
      </w:r>
      <w:r>
        <w:t xml:space="preserve"> </w:t>
      </w:r>
      <w:r>
        <w:t xml:space="preserve">— Ezekiel’s own messianic vision of the shepherd-king and the restored Davidic prince — the canonical context that receives the grief of ch. 19 and ultimately answers it, though not within ch. 19 itself.</w:t>
      </w:r>
    </w:p>
    <w:p>
      <w:pPr>
        <w:numPr>
          <w:ilvl w:val="0"/>
          <w:numId w:val="1001"/>
        </w:numPr>
      </w:pPr>
      <w:r>
        <w:rPr>
          <w:b/>
          <w:bCs/>
        </w:rPr>
        <w:t xml:space="preserve">Lamentations 1–2</w:t>
      </w:r>
      <w:r>
        <w:t xml:space="preserve"> </w:t>
      </w:r>
      <w:r>
        <w:t xml:space="preserve">— The canonical companion volume to Ezekiel’s lamentation, demonstrating that God Himself authorizes communal lament over covenant catastrophe as a spiritually appropriate and faithful response to judgment.</w:t>
      </w:r>
    </w:p>
    <w:p>
      <w:r>
        <w:pict>
          <v:rect style="width:0;height:1.5pt" o:hralign="center" o:hrstd="t" o:hr="t"/>
        </w:pict>
      </w:r>
    </w:p>
    <w:p>
      <w:pPr>
        <w:pStyle w:val="FirstParagraph"/>
      </w:pPr>
      <w:r>
        <w:rPr>
          <w:b/>
          <w:bCs/>
        </w:rPr>
        <w:t xml:space="preserve">Aim:</w:t>
      </w:r>
      <w:r>
        <w:t xml:space="preserve"> </w:t>
      </w:r>
      <w:r>
        <w:t xml:space="preserve">To enable readers and hearers to inhabit honest grief over the consequences of faithless leadership and covenant failure — and to understand such grief not as spiritual weakness but as the God-commanded, faith-shaped response to what sin actually costs.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Command to Ezekiel:</w:t>
            </w:r>
            <w:r>
              <w:t xml:space="preserve"> </w:t>
            </w:r>
            <w:r>
              <w:t xml:space="preserve">“Take up a lamentation for the princes of Israel”</w:t>
            </w:r>
          </w:p>
        </w:tc>
        <w:tc>
          <w:tcPr/>
          <w:p>
            <w:pPr>
              <w:pStyle w:val="Compact"/>
            </w:pPr>
            <w:r>
              <w:rPr>
                <w:i/>
                <w:iCs/>
              </w:rPr>
              <w:t xml:space="preserve">nāśāʾ qînāh</w:t>
            </w:r>
            <w:r>
              <w:t xml:space="preserve"> </w:t>
            </w:r>
            <w:r>
              <w:t xml:space="preserve">— formal command to inhabit a funeral dirge;</w:t>
            </w:r>
            <w:r>
              <w:t xml:space="preserve"> </w:t>
            </w:r>
            <w:r>
              <w:t xml:space="preserve">“princes”</w:t>
            </w:r>
            <w:r>
              <w:t xml:space="preserve"> </w:t>
            </w:r>
            <w:r>
              <w:t xml:space="preserve">(</w:t>
            </w:r>
            <w:r>
              <w:rPr>
                <w:i/>
                <w:iCs/>
              </w:rPr>
              <w:t xml:space="preserve">nĕśîʾîm</w:t>
            </w:r>
            <w:r>
              <w:t xml:space="preserve">) signals the Davidic leadership, not the nation as a whole</w:t>
            </w:r>
          </w:p>
        </w:tc>
      </w:tr>
      <w:tr>
        <w:tc>
          <w:tcPr/>
          <w:p>
            <w:pPr>
              <w:pStyle w:val="Compact"/>
            </w:pPr>
            <w:r>
              <w:t xml:space="preserve">2</w:t>
            </w:r>
          </w:p>
        </w:tc>
        <w:tc>
          <w:tcPr/>
          <w:p>
            <w:pPr>
              <w:pStyle w:val="Compact"/>
            </w:pPr>
            <w:r>
              <w:t xml:space="preserve">The mother lioness described: she crouched among lions, reared her cubs among young lions</w:t>
            </w:r>
          </w:p>
        </w:tc>
        <w:tc>
          <w:tcPr/>
          <w:p>
            <w:pPr>
              <w:pStyle w:val="Compact"/>
            </w:pPr>
            <w:r>
              <w:t xml:space="preserve">The mother figure = the Davidic dynasty / the nation that produced its kings; lion imagery draws on the Judah-lion typology of Gen 49:9</w:t>
            </w:r>
          </w:p>
        </w:tc>
      </w:tr>
      <w:tr>
        <w:tc>
          <w:tcPr/>
          <w:p>
            <w:pPr>
              <w:pStyle w:val="Compact"/>
            </w:pPr>
            <w:r>
              <w:t xml:space="preserve">3</w:t>
            </w:r>
          </w:p>
        </w:tc>
        <w:tc>
          <w:tcPr/>
          <w:p>
            <w:pPr>
              <w:pStyle w:val="Compact"/>
            </w:pPr>
            <w:r>
              <w:t xml:space="preserve">First cub raised up, learns to tear prey and devour men</w:t>
            </w:r>
          </w:p>
        </w:tc>
        <w:tc>
          <w:tcPr/>
          <w:p>
            <w:pPr>
              <w:pStyle w:val="Compact"/>
            </w:pPr>
            <w:r>
              <w:t xml:space="preserve">Pattern of learning violence and dominance — the cub becomes what the dynasty modeled; no virtue in this portrait</w:t>
            </w:r>
          </w:p>
        </w:tc>
      </w:tr>
      <w:tr>
        <w:tc>
          <w:tcPr/>
          <w:p>
            <w:pPr>
              <w:pStyle w:val="Compact"/>
            </w:pPr>
            <w:r>
              <w:t xml:space="preserve">4</w:t>
            </w:r>
          </w:p>
        </w:tc>
        <w:tc>
          <w:tcPr/>
          <w:p>
            <w:pPr>
              <w:pStyle w:val="Compact"/>
            </w:pPr>
            <w:r>
              <w:t xml:space="preserve">Nations hear of him; he is caught in a pit; brought to Egypt</w:t>
            </w:r>
          </w:p>
        </w:tc>
        <w:tc>
          <w:tcPr/>
          <w:p>
            <w:pPr>
              <w:pStyle w:val="Compact"/>
            </w:pPr>
            <w:r>
              <w:t xml:space="preserve">Historical referent: Jehoahaz (609 BC); the nations as instrument of judgment; Egypt as first place of exile (anticipating Babylon)</w:t>
            </w:r>
          </w:p>
        </w:tc>
      </w:tr>
      <w:tr>
        <w:tc>
          <w:tcPr/>
          <w:p>
            <w:pPr>
              <w:pStyle w:val="Compact"/>
            </w:pPr>
            <w:r>
              <w:t xml:space="preserve">5</w:t>
            </w:r>
          </w:p>
        </w:tc>
        <w:tc>
          <w:tcPr/>
          <w:p>
            <w:pPr>
              <w:pStyle w:val="Compact"/>
            </w:pPr>
            <w:r>
              <w:t xml:space="preserve">The mother, seeing her hope lost, takes another cub and makes him a young lion</w:t>
            </w:r>
          </w:p>
        </w:tc>
        <w:tc>
          <w:tcPr/>
          <w:p>
            <w:pPr>
              <w:pStyle w:val="Compact"/>
            </w:pPr>
            <w:r>
              <w:t xml:space="preserve">Second attempt; the dynasty’s repeating pattern of raising lions rather than righteous kings</w:t>
            </w:r>
          </w:p>
        </w:tc>
      </w:tr>
      <w:tr>
        <w:tc>
          <w:tcPr/>
          <w:p>
            <w:pPr>
              <w:pStyle w:val="Compact"/>
            </w:pPr>
            <w:r>
              <w:t xml:space="preserve">6</w:t>
            </w:r>
          </w:p>
        </w:tc>
        <w:tc>
          <w:tcPr/>
          <w:p>
            <w:pPr>
              <w:pStyle w:val="Compact"/>
            </w:pPr>
            <w:r>
              <w:t xml:space="preserve">He walks among the lions, learns to tear prey, devours men; desolates cities, makes the land waste</w:t>
            </w:r>
          </w:p>
        </w:tc>
        <w:tc>
          <w:tcPr/>
          <w:p>
            <w:pPr>
              <w:pStyle w:val="Compact"/>
            </w:pPr>
            <w:r>
              <w:t xml:space="preserve">The second cub’s portrait is worse — broader destruction, more devastation</w:t>
            </w:r>
          </w:p>
        </w:tc>
      </w:tr>
      <w:tr>
        <w:tc>
          <w:tcPr/>
          <w:p>
            <w:pPr>
              <w:pStyle w:val="Compact"/>
            </w:pPr>
            <w:r>
              <w:t xml:space="preserve">7</w:t>
            </w:r>
          </w:p>
        </w:tc>
        <w:tc>
          <w:tcPr/>
          <w:p>
            <w:pPr>
              <w:pStyle w:val="Compact"/>
            </w:pPr>
            <w:r>
              <w:t xml:space="preserve">His roaring terrifies the land and its people</w:t>
            </w:r>
          </w:p>
        </w:tc>
        <w:tc>
          <w:tcPr/>
          <w:p>
            <w:pPr>
              <w:pStyle w:val="Compact"/>
            </w:pPr>
            <w:r>
              <w:t xml:space="preserve">The king’s power weaponized; leadership as terror rather than protection</w:t>
            </w:r>
          </w:p>
        </w:tc>
      </w:tr>
      <w:tr>
        <w:tc>
          <w:tcPr/>
          <w:p>
            <w:pPr>
              <w:pStyle w:val="Compact"/>
            </w:pPr>
            <w:r>
              <w:t xml:space="preserve">8</w:t>
            </w:r>
          </w:p>
        </w:tc>
        <w:tc>
          <w:tcPr/>
          <w:p>
            <w:pPr>
              <w:pStyle w:val="Compact"/>
            </w:pPr>
            <w:r>
              <w:t xml:space="preserve">Nations from surrounding provinces set against him; pit and snare laid</w:t>
            </w:r>
          </w:p>
        </w:tc>
        <w:tc>
          <w:tcPr/>
          <w:p>
            <w:pPr>
              <w:pStyle w:val="Compact"/>
            </w:pPr>
            <w:r>
              <w:t xml:space="preserve">International coalition as God’s instrument; the judgment is coordinated and deliberate</w:t>
            </w:r>
          </w:p>
        </w:tc>
      </w:tr>
      <w:tr>
        <w:tc>
          <w:tcPr/>
          <w:p>
            <w:pPr>
              <w:pStyle w:val="Compact"/>
            </w:pPr>
            <w:r>
              <w:t xml:space="preserve">9</w:t>
            </w:r>
          </w:p>
        </w:tc>
        <w:tc>
          <w:tcPr/>
          <w:p>
            <w:pPr>
              <w:pStyle w:val="Compact"/>
            </w:pPr>
            <w:r>
              <w:t xml:space="preserve">Caught, brought in chains to the king of Babylon; put in a cage so his voice no longer heard</w:t>
            </w:r>
          </w:p>
        </w:tc>
        <w:tc>
          <w:tcPr/>
          <w:p>
            <w:pPr>
              <w:pStyle w:val="Compact"/>
            </w:pPr>
            <w:r>
              <w:t xml:space="preserve">Referent: Jehoiachin (597 BC) and/or Zedekiah (586 BC); the silencing of the dynastic voice is the culmination</w:t>
            </w:r>
          </w:p>
        </w:tc>
      </w:tr>
      <w:tr>
        <w:tc>
          <w:tcPr/>
          <w:p>
            <w:pPr>
              <w:pStyle w:val="Compact"/>
            </w:pPr>
            <w:r>
              <w:t xml:space="preserve">10</w:t>
            </w:r>
          </w:p>
        </w:tc>
        <w:tc>
          <w:tcPr/>
          <w:p>
            <w:pPr>
              <w:pStyle w:val="Compact"/>
            </w:pPr>
            <w:r>
              <w:t xml:space="preserve">Second movement begins: the mother is now a vine planted by water, fruitful and full</w:t>
            </w:r>
          </w:p>
        </w:tc>
        <w:tc>
          <w:tcPr/>
          <w:p>
            <w:pPr>
              <w:pStyle w:val="Compact"/>
            </w:pPr>
            <w:r>
              <w:t xml:space="preserve">The vine metaphor (cf. Ps 80; Is 5; Ezek 15–17) shifts from kings as individuals to the dynasty as institution</w:t>
            </w:r>
          </w:p>
        </w:tc>
      </w:tr>
      <w:tr>
        <w:tc>
          <w:tcPr/>
          <w:p>
            <w:pPr>
              <w:pStyle w:val="Compact"/>
            </w:pPr>
            <w:r>
              <w:t xml:space="preserve">11</w:t>
            </w:r>
          </w:p>
        </w:tc>
        <w:tc>
          <w:tcPr/>
          <w:p>
            <w:pPr>
              <w:pStyle w:val="Compact"/>
            </w:pPr>
            <w:r>
              <w:t xml:space="preserve">Strong branches become scepters for rulers; height exalts among the clouds</w:t>
            </w:r>
          </w:p>
        </w:tc>
        <w:tc>
          <w:tcPr/>
          <w:p>
            <w:pPr>
              <w:pStyle w:val="Compact"/>
            </w:pPr>
            <w:r>
              <w:t xml:space="preserve">The vine’s best growth = the potential of the Davidic line at its height</w:t>
            </w:r>
          </w:p>
        </w:tc>
      </w:tr>
      <w:tr>
        <w:tc>
          <w:tcPr/>
          <w:p>
            <w:pPr>
              <w:pStyle w:val="Compact"/>
            </w:pPr>
            <w:r>
              <w:t xml:space="preserve">12</w:t>
            </w:r>
          </w:p>
        </w:tc>
        <w:tc>
          <w:tcPr/>
          <w:p>
            <w:pPr>
              <w:pStyle w:val="Compact"/>
            </w:pPr>
            <w:r>
              <w:t xml:space="preserve">But she is plucked up in fury, thrown to the ground; the east wind dries up her fruit, and her strong branch is withered and consumed by fire</w:t>
            </w:r>
          </w:p>
        </w:tc>
        <w:tc>
          <w:tcPr/>
          <w:p>
            <w:pPr>
              <w:pStyle w:val="Compact"/>
            </w:pPr>
            <w:r>
              <w:t xml:space="preserve">Judgment comes as divine fury; the east wind = Babylonian conquest; the strong branch = the ruling king consumed</w:t>
            </w:r>
          </w:p>
        </w:tc>
      </w:tr>
      <w:tr>
        <w:tc>
          <w:tcPr/>
          <w:p>
            <w:pPr>
              <w:pStyle w:val="Compact"/>
            </w:pPr>
            <w:r>
              <w:t xml:space="preserve">13</w:t>
            </w:r>
          </w:p>
        </w:tc>
        <w:tc>
          <w:tcPr/>
          <w:p>
            <w:pPr>
              <w:pStyle w:val="Compact"/>
            </w:pPr>
            <w:r>
              <w:t xml:space="preserve">Now planted in the wilderness, in a dry and thirsty land</w:t>
            </w:r>
          </w:p>
        </w:tc>
        <w:tc>
          <w:tcPr/>
          <w:p>
            <w:pPr>
              <w:pStyle w:val="Compact"/>
            </w:pPr>
            <w:r>
              <w:t xml:space="preserve">Exile as transplantation to barrenness — Babylon is the antithesis of the promised land’s abundance</w:t>
            </w:r>
          </w:p>
        </w:tc>
      </w:tr>
      <w:tr>
        <w:tc>
          <w:tcPr/>
          <w:p>
            <w:pPr>
              <w:pStyle w:val="Compact"/>
            </w:pPr>
            <w:r>
              <w:t xml:space="preserve">14</w:t>
            </w:r>
          </w:p>
        </w:tc>
        <w:tc>
          <w:tcPr/>
          <w:p>
            <w:pPr>
              <w:pStyle w:val="Compact"/>
            </w:pPr>
            <w:r>
              <w:t xml:space="preserve">Fire has gone out from a rod of her branches, has consumed her fruit — no strong branch left to be a ruler’s scepter</w:t>
            </w:r>
          </w:p>
        </w:tc>
        <w:tc>
          <w:tcPr/>
          <w:p>
            <w:pPr>
              <w:pStyle w:val="Compact"/>
            </w:pPr>
            <w:r>
              <w:t xml:space="preserve">The dynasty’s own sin (fire from within the vine) has destroyed its capacity to rule; the catastrophe is self-generated</w:t>
            </w:r>
          </w:p>
        </w:tc>
      </w:tr>
      <w:tr>
        <w:tc>
          <w:tcPr/>
          <w:p>
            <w:pPr>
              <w:pStyle w:val="Compact"/>
            </w:pPr>
            <w:r>
              <w:t xml:space="preserve">14b</w:t>
            </w:r>
          </w:p>
        </w:tc>
        <w:tc>
          <w:tcPr/>
          <w:p>
            <w:pPr>
              <w:pStyle w:val="Compact"/>
            </w:pPr>
            <w:r>
              <w:t xml:space="preserve">“This is a lamentation, and it has become a lamentation”</w:t>
            </w:r>
          </w:p>
        </w:tc>
        <w:tc>
          <w:tcPr/>
          <w:p>
            <w:pPr>
              <w:pStyle w:val="Compact"/>
            </w:pPr>
            <w:r>
              <w:t xml:space="preserve">The closing formula: the poem confirms its own genre; the present tense (</w:t>
            </w:r>
            <w:r>
              <w:rPr>
                <w:i/>
                <w:iCs/>
              </w:rPr>
              <w:t xml:space="preserve">has become</w:t>
            </w:r>
            <w:r>
              <w:t xml:space="preserve">) signals ongoing reality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Command: Take Up the Lament</w:t>
            </w:r>
          </w:p>
        </w:tc>
      </w:tr>
      <w:tr>
        <w:tc>
          <w:tcPr/>
          <w:p>
            <w:pPr>
              <w:pStyle w:val="Compact"/>
            </w:pPr>
            <w:r>
              <w:t xml:space="preserve">2</w:t>
            </w:r>
          </w:p>
        </w:tc>
        <w:tc>
          <w:tcPr/>
          <w:p>
            <w:pPr>
              <w:pStyle w:val="Compact"/>
            </w:pPr>
            <w:r>
              <w:t xml:space="preserve">2–4</w:t>
            </w:r>
          </w:p>
        </w:tc>
        <w:tc>
          <w:tcPr/>
          <w:p>
            <w:pPr>
              <w:pStyle w:val="Compact"/>
            </w:pPr>
            <w:r>
              <w:t xml:space="preserve">First Lion-Cub: The Cub Taken to Egypt</w:t>
            </w:r>
          </w:p>
        </w:tc>
      </w:tr>
      <w:tr>
        <w:tc>
          <w:tcPr/>
          <w:p>
            <w:pPr>
              <w:pStyle w:val="Compact"/>
            </w:pPr>
            <w:r>
              <w:t xml:space="preserve">3</w:t>
            </w:r>
          </w:p>
        </w:tc>
        <w:tc>
          <w:tcPr/>
          <w:p>
            <w:pPr>
              <w:pStyle w:val="Compact"/>
            </w:pPr>
            <w:r>
              <w:t xml:space="preserve">5–9</w:t>
            </w:r>
          </w:p>
        </w:tc>
        <w:tc>
          <w:tcPr/>
          <w:p>
            <w:pPr>
              <w:pStyle w:val="Compact"/>
            </w:pPr>
            <w:r>
              <w:t xml:space="preserve">Second Lion-Cub: The Cub Taken to Babylon</w:t>
            </w:r>
          </w:p>
        </w:tc>
      </w:tr>
      <w:tr>
        <w:tc>
          <w:tcPr/>
          <w:p>
            <w:pPr>
              <w:pStyle w:val="Compact"/>
            </w:pPr>
            <w:r>
              <w:t xml:space="preserve">4</w:t>
            </w:r>
          </w:p>
        </w:tc>
        <w:tc>
          <w:tcPr/>
          <w:p>
            <w:pPr>
              <w:pStyle w:val="Compact"/>
            </w:pPr>
            <w:r>
              <w:t xml:space="preserve">10–13</w:t>
            </w:r>
          </w:p>
        </w:tc>
        <w:tc>
          <w:tcPr/>
          <w:p>
            <w:pPr>
              <w:pStyle w:val="Compact"/>
            </w:pPr>
            <w:r>
              <w:t xml:space="preserve">The Vine Plucked Up: The Dynasty Transplanted to Wilderness</w:t>
            </w:r>
          </w:p>
        </w:tc>
      </w:tr>
      <w:tr>
        <w:tc>
          <w:tcPr/>
          <w:p>
            <w:pPr>
              <w:pStyle w:val="Compact"/>
            </w:pPr>
            <w:r>
              <w:t xml:space="preserve">5</w:t>
            </w:r>
          </w:p>
        </w:tc>
        <w:tc>
          <w:tcPr/>
          <w:p>
            <w:pPr>
              <w:pStyle w:val="Compact"/>
            </w:pPr>
            <w:r>
              <w:t xml:space="preserve">14</w:t>
            </w:r>
          </w:p>
        </w:tc>
        <w:tc>
          <w:tcPr/>
          <w:p>
            <w:pPr>
              <w:pStyle w:val="Compact"/>
            </w:pPr>
            <w:r>
              <w:t xml:space="preserve">The Self-Consuming Fire and the Closing Verdict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commands lament over Israel’s fallen dynasty — the cost of unfaithful leadership made inescapable.</w:t>
      </w:r>
    </w:p>
    <w:p>
      <w:pPr>
        <w:pStyle w:val="BodyText"/>
      </w:pPr>
      <w:r>
        <w:rPr>
          <w:b/>
          <w:bCs/>
        </w:rPr>
        <w:t xml:space="preserve">Primary Claim:</w:t>
      </w:r>
      <w:r>
        <w:t xml:space="preserve"> </w:t>
      </w:r>
      <w:r>
        <w:t xml:space="preserve">God uses formal lamentation to force His people to feel the full weight of what faithless leadership has cost — because honest grief over sin’s consequences is itself an act of faith and a prerequisite for genuine return.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Grief is not the opposite of faith — it is sometimes its most faithful expression.</w:t>
      </w:r>
      <w:r>
        <w:t xml:space="preserve"> </w:t>
      </w:r>
      <w:r>
        <w:rPr>
          <w:i/>
          <w:iCs/>
        </w:rPr>
        <w:t xml:space="preserve">(Mind/belief)</w:t>
      </w:r>
      <w:r>
        <w:t xml:space="preserve"> </w:t>
      </w:r>
      <w:r>
        <w:t xml:space="preserve">Ezekiel 19 is commanded grief — God does not let His people process catastrophe through denial, theological abstraction, or premature comfort. The exiles were surrounded by false prophets promising quick return and restoration; God commanded a funeral dirge instead. Modern Christian piety often treats grief as a problem to be quickly resolved, a stage to move through on the way to rejoicing. But here God Himself commands Ezekiel to inhabit the lament and hold it without rushing past it. The reader must reframe: honest grief over the real consequences of sin — in their life, their community, their nation — is not spiritual immaturity. It is what faith looks like when it refuses to lie about reality.</w:t>
      </w:r>
    </w:p>
    <w:p>
      <w:pPr>
        <w:pStyle w:val="BodyText"/>
      </w:pPr>
      <w:r>
        <w:rPr>
          <w:b/>
          <w:bCs/>
        </w:rPr>
        <w:t xml:space="preserve">2. The consequences of unfaithful leadership must be named and felt, not minimized.</w:t>
      </w:r>
      <w:r>
        <w:t xml:space="preserve"> </w:t>
      </w:r>
      <w:r>
        <w:rPr>
          <w:i/>
          <w:iCs/>
        </w:rPr>
        <w:t xml:space="preserve">(Affections/worship)</w:t>
      </w:r>
      <w:r>
        <w:t xml:space="preserve"> </w:t>
      </w:r>
      <w:r>
        <w:t xml:space="preserve">Both lion-cub portraits end in chains and cages. Both are devastating precisely because of what they could have been — kings of the Davidic line, heirs of covenant promise, potential shepherds of God’s people. Instead they learned to devour men and devastate cities. The congregation needs to feel this loss rather than merely note it. Where have leaders — in the church, in the family, in the broader culture — failed the people they were entrusted to form? The lament invites not cynicism (which is cold) but grief (which is warm and engaged). Allowing the congregation to grieve the specific failures of specific leaders — pastors who departed from truth, fathers who abdicated, elders who protected institutions over people — is pastorally appropriate and spiritually necessary. Do not rush past the grief to cheap consolation.</w:t>
      </w:r>
    </w:p>
    <w:p>
      <w:pPr>
        <w:pStyle w:val="BodyText"/>
      </w:pPr>
      <w:r>
        <w:rPr>
          <w:b/>
          <w:bCs/>
        </w:rPr>
        <w:t xml:space="preserve">3. Examine whether your community’s hope is built on institutional strength or on the LORD Himself.</w:t>
      </w:r>
      <w:r>
        <w:t xml:space="preserve"> </w:t>
      </w:r>
      <w:r>
        <w:rPr>
          <w:i/>
          <w:iCs/>
        </w:rPr>
        <w:t xml:space="preserve">(Mind/belief)</w:t>
      </w:r>
      <w:r>
        <w:t xml:space="preserve"> </w:t>
      </w:r>
      <w:r>
        <w:t xml:space="preserve">The vine in vv. 10–14 was planted by water, strong, exalted — and it generated its own destruction. The</w:t>
      </w:r>
      <w:r>
        <w:t xml:space="preserve"> </w:t>
      </w:r>
      <w:r>
        <w:t xml:space="preserve">“fire from a rod of her branches”</w:t>
      </w:r>
      <w:r>
        <w:t xml:space="preserve"> </w:t>
      </w:r>
      <w:r>
        <w:t xml:space="preserve">(v. 14) is the dynasty’s own faithlessness consuming its future. The Israelites’ hope had been misplaced in the continuation of the Davidic institution rather than in the God who established and conditioned it. Where do contemporary communities place institutional trust that belongs to God alone? The church that assumes its own perpetuity, the denomination that treats its structures as guarantors of faithfulness, the Christian family that treats social respectability as a proxy for covenant health — all are vulnerable to the same misplaced confidence. Let the vine’s plucking be an examination of where institutional idolatry has quietly displaced trust in the living God.</w:t>
      </w:r>
    </w:p>
    <w:p>
      <w:pPr>
        <w:pStyle w:val="BodyText"/>
      </w:pPr>
      <w:r>
        <w:rPr>
          <w:b/>
          <w:bCs/>
        </w:rPr>
        <w:t xml:space="preserve">4. Allow this passage to produce the specific sorrow God intends — and sit in it long enough for it to do its work.</w:t>
      </w:r>
      <w:r>
        <w:t xml:space="preserve"> </w:t>
      </w:r>
      <w:r>
        <w:rPr>
          <w:i/>
          <w:iCs/>
        </w:rPr>
        <w:t xml:space="preserve">(Affections/worship)</w:t>
      </w:r>
      <w:r>
        <w:t xml:space="preserve"> </w:t>
      </w:r>
      <w:r>
        <w:t xml:space="preserve">The closing formula —</w:t>
      </w:r>
      <w:r>
        <w:t xml:space="preserve"> </w:t>
      </w:r>
      <w:r>
        <w:rPr>
          <w:i/>
          <w:iCs/>
        </w:rPr>
        <w:t xml:space="preserve">“This is a lamentation, and it has become a lamentation”</w:t>
      </w:r>
      <w:r>
        <w:t xml:space="preserve"> </w:t>
      </w:r>
      <w:r>
        <w:t xml:space="preserve">— is striking in its refusal of resolution. There is no closing promise in this chapter, no pivot to hope, no</w:t>
      </w:r>
      <w:r>
        <w:t xml:space="preserve"> </w:t>
      </w:r>
      <w:r>
        <w:t xml:space="preserve">“but nevertheless the LORD.”</w:t>
      </w:r>
      <w:r>
        <w:t xml:space="preserve"> </w:t>
      </w:r>
      <w:r>
        <w:t xml:space="preserve">The chapter ends in grief. God designed it to end there. Application here is counter-intuitive: resist the homiletical instinct to rescue the congregation from the lament by tacking on a comfort passage. This text ends without comfort because some moments in the life of God’s people genuinely require sitting in sustained, unresolved grief. Preacher and congregation alike are called to trust that God can be present in the lament itself — not only in the comfort that may eventually follow.</w:t>
      </w:r>
    </w:p>
    <w:p>
      <w:pPr>
        <w:pStyle w:val="BodyText"/>
      </w:pPr>
      <w:r>
        <w:rPr>
          <w:b/>
          <w:bCs/>
        </w:rPr>
        <w:t xml:space="preserve">5. Confess the specific ways in which your own unfaithfulness has produced consequences you are tempted to minimize.</w:t>
      </w:r>
      <w:r>
        <w:t xml:space="preserve"> </w:t>
      </w:r>
      <w:r>
        <w:rPr>
          <w:i/>
          <w:iCs/>
        </w:rPr>
        <w:t xml:space="preserve">(Will/behavior)</w:t>
      </w:r>
      <w:r>
        <w:t xml:space="preserve"> </w:t>
      </w:r>
      <w:r>
        <w:t xml:space="preserve">The fire in v. 14 comes</w:t>
      </w:r>
      <w:r>
        <w:t xml:space="preserve"> </w:t>
      </w:r>
      <w:r>
        <w:t xml:space="preserve">“from a rod of her branches”</w:t>
      </w:r>
      <w:r>
        <w:t xml:space="preserve"> </w:t>
      </w:r>
      <w:r>
        <w:t xml:space="preserve">— from within the vine itself. The dynasty did not fall only because Babylon was powerful; it fell because the kings’ own covenant unfaithfulness generated the conditions of their destruction. This is the text’s pointed diagnostic: catastrophe is not always external aggression — it is often the harvested fruit of internal faithlessness. The application is concrete: where have you or your community avoided honest reckoning with how your own choices produced the losses you are grieving? Naming that specifically — not as self-condemnation, but as the honest accounting that precedes genuine repentance — is the action this text demands.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19 teaches that God is not indifferent to the consequences of covenant failure in human leadership — He grieves them, and He calls His people to grieve them alongside Him. The passage demonstrates that divine sovereignty over judgment does not produce divine emotional detachment: God commands mourning precisely because the loss is real, the potential was real, and the waste is real. The chapter also teaches that human leadership is radically accountable — the lion-kings are never celebrated for their power, only mourned for their violence and their captivity. Leadership in Israel was always covenant-conditioned, and its failure was covenant catastrophe, not merely political misfortune. Finally, the passage teaches that lamentation is a legitimate, God-authorized form of covenant faithfulness — the Psalter, Lamentations, and the prophets together establish that honest grief is not the absence of trust but its exercise under conditions of loss.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19 functions within the Reformed theological framework as a demonstration of the covenant’s serious conditionality at the level of human covenant partners — specifically the Davidic monarchy. The Reformed tradition has always distinguished between the unconditionality of God’s ultimate purposes (the covenant of grace will not fail) and the genuine conditionality of covenant blessings for human participants (covenant unfaithfulness produces real loss). This passage embodies that distinction: the Davidic line will ultimately not be extinguished (Ezek 34, 37; Luke 1:32–33), but the specific kings and the institutional monarchy suffer genuine, irreversible loss as the fruit of their faithlessness. The lament form also illuminates the Reformed understanding of repentance: genuine repentance is not merely intellectual acknowledgment of wrongdoing but the affective, whole-person response that includes grief — what Calvin called</w:t>
      </w:r>
      <w:r>
        <w:t xml:space="preserve"> </w:t>
      </w:r>
      <w:r>
        <w:rPr>
          <w:i/>
          <w:iCs/>
        </w:rPr>
        <w:t xml:space="preserve">contritio</w:t>
      </w:r>
      <w:r>
        <w:t xml:space="preserve">, the crushing of the heart before God. Ezekiel 19 commands that crushing. Finally, the passage points canonically toward Christ as the one in whom the extinguished scepter is restored — not to the failed pattern of the lion-kings, but as the true shepherd-king of Ezekiel 34, the one who does not devour but lays down his life.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kings are in cages. The vine is in the wilderness. The fire came from within. God commands you not to look away from this — not to rush to comfort, not to import a hope the text itself withholds — but to grieve honestly, specifically, and long enough for the grief to tell the truth. Honest lamentation over the real cost of covenant failure is not weakness; it is the faith-shaped refusal to lie about what sin actually costs — and it is where genuine return begins.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merely a historical puzzle to be decoded rather than a lament to be inhabited.</w:t>
      </w:r>
      <w:r>
        <w:t xml:space="preserve"> </w:t>
      </w:r>
      <w:r>
        <w:t xml:space="preserve">The most common homiletical failure with Ezekiel 19 is spending the entire sermon identifying the historical referents (Jehoahaz? Jehoiachin? Zedekiah?) and never arriving at the grief the passage commands. Historical grounding matters, but it is in service of the lament, not a substitute for it. The preacher who solves the identification question and then moves to the next chapter has missed the text entirely.</w:t>
      </w:r>
    </w:p>
    <w:p>
      <w:pPr>
        <w:numPr>
          <w:ilvl w:val="0"/>
          <w:numId w:val="1002"/>
        </w:numPr>
      </w:pPr>
      <w:r>
        <w:rPr>
          <w:b/>
          <w:bCs/>
        </w:rPr>
        <w:t xml:space="preserve">Rushing to messianic hope before the lament has done its work.</w:t>
      </w:r>
      <w:r>
        <w:t xml:space="preserve"> </w:t>
      </w:r>
      <w:r>
        <w:t xml:space="preserve">Ezekiel 34 and 37 do answer the grief of ch. 19 canonically. But Ezekiel 19 itself contains no messianic signal, no pivot, no resolution. Preachers who feel compelled to end every Old Testament lament passage with a New Testament comfort text risk domesticating the lament and implicitly communicating that grief is not a valid resting place for faith. This passage is designed to end in grief. Let it.</w:t>
      </w:r>
    </w:p>
    <w:p>
      <w:pPr>
        <w:numPr>
          <w:ilvl w:val="0"/>
          <w:numId w:val="1002"/>
        </w:numPr>
      </w:pPr>
      <w:r>
        <w:rPr>
          <w:b/>
          <w:bCs/>
        </w:rPr>
        <w:t xml:space="preserve">Moralizing the lion-cub portraits into a simple "bad leaders get punished" lesson.</w:t>
      </w:r>
      <w:r>
        <w:t xml:space="preserve"> </w:t>
      </w:r>
      <w:r>
        <w:t xml:space="preserve">The chapter is not a morality tale about the consequences of bad behavior — it is a lament, which means it functions to produce grief, not primarily to teach a lesson. The Clowney/Chapell anti-moralism principle applies here: the application is not</w:t>
      </w:r>
      <w:r>
        <w:t xml:space="preserve"> </w:t>
      </w:r>
      <w:r>
        <w:t xml:space="preserve">“be a better leader”</w:t>
      </w:r>
      <w:r>
        <w:t xml:space="preserve"> </w:t>
      </w:r>
      <w:r>
        <w:t xml:space="preserve">or</w:t>
      </w:r>
      <w:r>
        <w:t xml:space="preserve"> </w:t>
      </w:r>
      <w:r>
        <w:t xml:space="preserve">“don’t devour people like these kings did.”</w:t>
      </w:r>
      <w:r>
        <w:t xml:space="preserve"> </w:t>
      </w:r>
      <w:r>
        <w:t xml:space="preserve">The application is grief over what faithless leadership has cost, and honest examination of where that pattern continues.</w:t>
      </w:r>
    </w:p>
    <w:p>
      <w:pPr>
        <w:numPr>
          <w:ilvl w:val="0"/>
          <w:numId w:val="1002"/>
        </w:numPr>
      </w:pPr>
      <w:r>
        <w:rPr>
          <w:b/>
          <w:bCs/>
        </w:rPr>
        <w:t xml:space="preserve">Failing to take the lament form seriously as a theological category.</w:t>
      </w:r>
      <w:r>
        <w:t xml:space="preserve"> </w:t>
      </w:r>
      <w:r>
        <w:t xml:space="preserve">Many evangelical traditions have an impoverished theology of lament — grief is treated as a way-station to praise, not as a valid mode of covenant engagement in its own right. Ezekiel 19 offers an opportunity to teach the congregation that God Himself commands lament, that the Psalter is one-third lament, that Lamentations exists in the canon, and that the ability to grieve honestly before God is a mark of spiritual maturity rather than spiritual deficiency.</w:t>
      </w:r>
    </w:p>
    <w:p>
      <w:pPr>
        <w:numPr>
          <w:ilvl w:val="0"/>
          <w:numId w:val="1002"/>
        </w:numPr>
      </w:pPr>
      <w:r>
        <w:rPr>
          <w:b/>
          <w:bCs/>
        </w:rPr>
        <w:t xml:space="preserve">Applying the passage only to ancient Israel’s political leadership without engaging its contemporary diagnostic force.</w:t>
      </w:r>
      <w:r>
        <w:t xml:space="preserve"> </w:t>
      </w:r>
      <w:r>
        <w:t xml:space="preserve">The temptation is to treat the lion-kings as distant historical figures who serve as negative examples. But the passage’s force is to make the congregation feel the loss of what unfaithful leadership — in any sphere — actually costs: the people who were supposed to be protected are not; the potential that was supposed to be developed is not; the legacy that was supposed to be built is not. This pastoral and communal application must be named with specificity.</w:t>
      </w:r>
    </w:p>
    <w:p>
      <w:pPr>
        <w:numPr>
          <w:ilvl w:val="0"/>
          <w:numId w:val="1002"/>
        </w:numPr>
      </w:pPr>
      <w:r>
        <w:rPr>
          <w:b/>
          <w:bCs/>
        </w:rPr>
        <w:t xml:space="preserve">Preaching the lament only at the cognitive level — explaining grief rather than evoking it.</w:t>
      </w:r>
      <w:r>
        <w:t xml:space="preserve"> </w:t>
      </w:r>
      <w:r>
        <w:t xml:space="preserve">Qinah poetry works through rhythm, imagery, and accumulation — the 3+2 stress pattern itself mimics a catch in the throat, an exhale of grief. The preacher who explains the lament academically has inverted the text’s strategy. The exposition should itself be structured to move the hearer through the same emotional arc the poem moves through — from the lioness raising her hope, to the cage, to the withered vine, to the wilderness, to the fire — so that the verdict of v. 14 lands with the weight it was designed to carry.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2026-07-14T21:06:21Z</dcterms:created>
  <dcterms:modified xsi:type="dcterms:W3CDTF">2026-07-14T21:06:21Z</dcterms:modified>
</cp:coreProperties>
</file>

<file path=docProps/custom.xml><?xml version="1.0" encoding="utf-8"?>
<Properties xmlns="http://schemas.openxmlformats.org/officeDocument/2006/custom-properties" xmlns:vt="http://schemas.openxmlformats.org/officeDocument/2006/docPropsVTypes"/>
</file>